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C1" w:rsidRDefault="004802C1" w:rsidP="004802C1">
      <w:pPr>
        <w:pStyle w:val="headertext"/>
        <w:jc w:val="center"/>
      </w:pPr>
      <w:r>
        <w:t xml:space="preserve">Целевые значения критериев доступности и качества медицинской помощи на 2019 год.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6251"/>
        <w:gridCol w:w="810"/>
        <w:gridCol w:w="810"/>
        <w:gridCol w:w="825"/>
      </w:tblGrid>
      <w:tr w:rsidR="004802C1" w:rsidTr="004802C1">
        <w:trPr>
          <w:trHeight w:val="15"/>
          <w:tblCellSpacing w:w="15" w:type="dxa"/>
          <w:jc w:val="center"/>
        </w:trPr>
        <w:tc>
          <w:tcPr>
            <w:tcW w:w="705" w:type="dxa"/>
            <w:vAlign w:val="center"/>
            <w:hideMark/>
          </w:tcPr>
          <w:p w:rsidR="004802C1" w:rsidRDefault="004802C1" w:rsidP="0051668C">
            <w:pPr>
              <w:rPr>
                <w:rFonts w:eastAsia="Times New Roman"/>
                <w:sz w:val="2"/>
              </w:rPr>
            </w:pPr>
          </w:p>
        </w:tc>
        <w:tc>
          <w:tcPr>
            <w:tcW w:w="6345" w:type="dxa"/>
            <w:vAlign w:val="center"/>
            <w:hideMark/>
          </w:tcPr>
          <w:p w:rsidR="004802C1" w:rsidRDefault="004802C1" w:rsidP="0051668C">
            <w:pPr>
              <w:rPr>
                <w:rFonts w:eastAsia="Times New Roman"/>
                <w:sz w:val="2"/>
              </w:rPr>
            </w:pPr>
          </w:p>
        </w:tc>
        <w:tc>
          <w:tcPr>
            <w:tcW w:w="720" w:type="dxa"/>
            <w:vAlign w:val="center"/>
            <w:hideMark/>
          </w:tcPr>
          <w:p w:rsidR="004802C1" w:rsidRDefault="004802C1" w:rsidP="0051668C">
            <w:pPr>
              <w:rPr>
                <w:rFonts w:eastAsia="Times New Roman"/>
                <w:sz w:val="2"/>
              </w:rPr>
            </w:pPr>
          </w:p>
        </w:tc>
        <w:tc>
          <w:tcPr>
            <w:tcW w:w="705" w:type="dxa"/>
            <w:vAlign w:val="center"/>
            <w:hideMark/>
          </w:tcPr>
          <w:p w:rsidR="004802C1" w:rsidRDefault="004802C1" w:rsidP="0051668C">
            <w:pPr>
              <w:rPr>
                <w:rFonts w:eastAsia="Times New Roman"/>
                <w:sz w:val="2"/>
              </w:rPr>
            </w:pPr>
          </w:p>
        </w:tc>
        <w:tc>
          <w:tcPr>
            <w:tcW w:w="705" w:type="dxa"/>
            <w:vAlign w:val="center"/>
            <w:hideMark/>
          </w:tcPr>
          <w:p w:rsidR="004802C1" w:rsidRDefault="004802C1" w:rsidP="0051668C">
            <w:pPr>
              <w:rPr>
                <w:rFonts w:eastAsia="Times New Roman"/>
                <w:sz w:val="2"/>
              </w:rPr>
            </w:pP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Критерии доступности и качества медицинской помощи (единицы измерения)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2019 год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2020 год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2021 год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 Критерии качества медицинской помощи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Удовлетворенность населения медицинской помощью (процентов от числа опрошенных)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362,8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355,4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338,8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21,5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21,5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21,5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Материнская смертность (на 100 тыс. человек, родившихся живыми)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17,6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17,6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17,6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Младенческая смертность (на 1000 человек, родившихся живыми)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3,95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3,9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Смертность детей в возрасте 0-4 лет (на 1000 родившихся живыми)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4,5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Смертность населения (число умерших на 1000 человек населения)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11,6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11,6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11,3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10,0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1.10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Смертность детей в возрасте 0-17 лет (на 100 тыс. человек населения соответствующего возраста)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49,5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49,5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49,0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10,5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10,5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10,5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4,1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4,1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4,1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56,0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56,2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56,3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впервые выявленных случаев онкологических заболеваний на ранних стадиях (I и II стадии) в общем </w:t>
            </w:r>
            <w:r>
              <w:lastRenderedPageBreak/>
              <w:t xml:space="preserve">количестве выявленных случаев онкологических заболеваний в течение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lastRenderedPageBreak/>
              <w:t xml:space="preserve">55,7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55,7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55,7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lastRenderedPageBreak/>
              <w:t xml:space="preserve">1.16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1.17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56,0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57,0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1.18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0,6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1.19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41,0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41,0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41,0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1.20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63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1.21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0,3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1.22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0,9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1.23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30,0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1.24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1.25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</w:t>
            </w:r>
            <w:r>
              <w:lastRenderedPageBreak/>
              <w:t xml:space="preserve">или региональные сосудистые центры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lastRenderedPageBreak/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lastRenderedPageBreak/>
              <w:t xml:space="preserve">1.26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0,07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0,07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0,07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 Критерии доступности медицинской помощи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Обеспеченность населения врачами (на 10 тыс. человек населения), в том числе оказывающими медицинскую помощь в амбулаторных и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38,7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38,7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38,7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в амбулаторных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20,5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20,4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20,5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в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12,9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12,8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12,8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91,8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92,88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93,0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в амбулаторных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52,4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52,94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53,4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в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33,4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33,94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33,94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расходов на оказание медицинской помощи в условиях дневных стационаров в общих расходах на Территориальную программу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6,2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6,4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1,6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63,0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63,0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63,0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охвата профилактическими медицинскими осмотрами взрослого населения (процент от общего количества взрослых, подлежащих профилактическим осмотрам)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47,5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53,61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59,71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2.7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охвата профилактическими медицинскими осмотрами детей (процент от общего количества детей, подлежащих профилактическим осмотрам)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97,5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97,5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97,5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2.8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12,0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2.9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72,0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73,0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73,5 </w:t>
            </w:r>
          </w:p>
        </w:tc>
      </w:tr>
      <w:tr w:rsidR="004802C1" w:rsidTr="004802C1">
        <w:trPr>
          <w:tblCellSpacing w:w="15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2.10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</w:pPr>
            <w:r>
              <w:t xml:space="preserve">Доля женщин, которым проведено экстракорпоральное оплодотворение, в общем количестве женщин с бесплодием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802C1" w:rsidRDefault="004802C1" w:rsidP="0051668C">
            <w:pPr>
              <w:pStyle w:val="formattext"/>
              <w:jc w:val="center"/>
            </w:pPr>
            <w:r>
              <w:t xml:space="preserve">35,0 </w:t>
            </w:r>
          </w:p>
        </w:tc>
      </w:tr>
    </w:tbl>
    <w:p w:rsidR="002E09F8" w:rsidRDefault="004802C1">
      <w:r>
        <w:lastRenderedPageBreak/>
        <w:t>     </w:t>
      </w:r>
      <w:r>
        <w:br/>
        <w:t>     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  <w:r>
        <w:br/>
      </w:r>
    </w:p>
    <w:sectPr w:rsidR="002E09F8" w:rsidSect="002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C1"/>
    <w:rsid w:val="002E09F8"/>
    <w:rsid w:val="0048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02C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802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Chernyaga</dc:creator>
  <cp:lastModifiedBy>Chernyaga</cp:lastModifiedBy>
  <cp:revision>1</cp:revision>
  <dcterms:created xsi:type="dcterms:W3CDTF">2018-12-27T09:54:00Z</dcterms:created>
  <dcterms:modified xsi:type="dcterms:W3CDTF">2018-12-27T09:56:00Z</dcterms:modified>
</cp:coreProperties>
</file>